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SächsAPOAgrFor (Sachsen) — Gliederung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besteht für</w:t>
      </w:r>
    </w:p>
    <w:p>
      <w:r>
        <w:t xml:space="preserve">1. beide Einstiegsebenen aus dem fachlichen Prüfungsabschnitt und</w:t>
      </w:r>
    </w:p>
    <w:p>
      <w:r>
        <w:t xml:space="preserve">2. für die zweite Einstiegsebene zusätzlich aus dem pädagogischen Prüfungsabschnitt.</w:t>
      </w:r>
    </w:p>
    <w:p>
      <w:r>
        <w:t xml:space="preserve">(2) Der fachliche Prüfungsabschnitt gliedert sich in einen schriftlichen, einen praktischen und einen mündlichen Prüfungsteil. Der pädagogische Prüfungsabschnitt gliedert sich in einen schriftlichen und einen praktischen Prüfungsteil.</w:t>
      </w:r>
    </w:p>
    <w:p>
      <w:r>
        <w:rPr>
          <w:color w:val="555555"/>
          <w:sz w:val="17"/>
        </w:rPr>
        <w:t xml:space="preserve">Zitiervorschlag: § 34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