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SächsAPOAgrFor (Sachsen) — Zulassung zur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Laufbahnprüfung wird zugelassen, wer die vorgeschriebenen Ausbildungsabschnitte und Aufgaben abgeleistet hat. Näheres regelt der Ausbildungsplan. Die Mitteilung von Zeit und Ort der Prüfungen erfolgt spätestens 2 Wochen vor Beginn der ersten Einzelprüfung.</w:t>
      </w:r>
    </w:p>
    <w:p>
      <w:r>
        <w:t xml:space="preserve">(2) Schließen Beschäftigte des Staatsbetriebes Sachsenforst einen dualen forstwirtschaftlichen oder forstwissenschaftlichen Studiengang mit einem Bachelorgrad ab, sind sie zur Laufbahnprüfung für die erste Einstiegsebene mit dem fachlichen Schwerpunkt Forstdienst zuzulassen.</w:t>
      </w:r>
    </w:p>
    <w:p>
      <w:r>
        <w:rPr>
          <w:color w:val="555555"/>
          <w:sz w:val="17"/>
        </w:rPr>
        <w:t xml:space="preserve">Zitiervorschlag: § 10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