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SächsAPOAgrFor (Sachsen) — Begriffsbestimmungen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Sinne dieser Verordnung ist</w:t>
      </w:r>
    </w:p>
    <w:p>
      <w:r>
        <w:t xml:space="preserve">1. Einzelprüfung eine Prüfung, für die eine Einzelnote vergeben wird,</w:t>
      </w:r>
    </w:p>
    <w:p>
      <w:r>
        <w:t xml:space="preserve">2. Gesamtergebnis eine Bezeichnung der abschließenden Bewertung der gesamten Laufbahnprüfung,</w:t>
      </w:r>
    </w:p>
    <w:p>
      <w:r>
        <w:t xml:space="preserve">3. Gesamtnote eine Bezeichnung der Bewertung eines gesamten Prüfungsabschnittes,</w:t>
      </w:r>
    </w:p>
    <w:p>
      <w:r>
        <w:t xml:space="preserve">4. Endnote eine Bezeichnung der abschließenden Bewertung eines Prüfungsteils.</w:t>
      </w:r>
    </w:p>
    <w:p>
      <w:r>
        <w:rPr>
          <w:color w:val="555555"/>
          <w:sz w:val="17"/>
        </w:rPr>
        <w:t xml:space="preserve">Zitiervorschlag: § 1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