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SächsAPOAHaft (Sachsen)</w:t>
      </w:r>
    </w:p>
    <w:p>
      <w:r>
        <w:rPr>
          <w:color w:val="555555"/>
          <w:sz w:val="18"/>
        </w:rPr>
        <w:t xml:space="preserve">Sächsische Ausbildungs- und Prüfungsordnung Abschiebungshaft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des § 30 Satz 1, 2 Nummer 1, 2, 3, 5 bis 8 und Satz 3 des Sächsischen Beamtengesetzes vom 18. Dezember 2013 (SächsGVBl. S. 970, 971), dessen Sätze 1 und 2 Nummer 8 durch Artikel 1 Nummer 15 Buchstabe a und b Doppelbuchstabe aa des Gesetzes vom 28. Juni 2018 (SächsGVBl. S. 430) geändert worden sind, verordnet das Staatsministerium des Innern:</w:t>
      </w:r>
    </w:p>
    <w:p>
      <w:r>
        <w:rPr>
          <w:color w:val="555555"/>
          <w:sz w:val="17"/>
        </w:rPr>
        <w:t xml:space="preserve">Zitiervorschlag: Eingangsformel SächsAPOAHaft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https://recht.nulegal.eu/gesetze/S%C3%A4chsAPOAHaft/eingangsformel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