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SächsAPOAA (Sachsen)</w:t>
      </w:r>
    </w:p>
    <w:p>
      <w:r>
        <w:rPr>
          <w:color w:val="555555"/>
          <w:sz w:val="18"/>
        </w:rPr>
        <w:t xml:space="preserve">Sächsische Ausbildungs- und Prüfungsordnung für Amtsanwälte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30 Satz 1 und 2 des Sächsischen Beamtengesetzes vom 18. Dezember 2013 (SächsGVBl. S. 970, 971) verordnet das Staatsministerium der Justiz im Einvernehmen mit dem Staatsministerium des Innern:</w:t>
      </w:r>
    </w:p>
    <w:p>
      <w:r>
        <w:rPr>
          <w:color w:val="555555"/>
          <w:sz w:val="17"/>
        </w:rPr>
        <w:t xml:space="preserve">Zitiervorschlag: Eingangsformel SächsAPOAA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https://recht.nulegal.eu/gesetze/S%C3%A4chsAPOAA/eingangsformel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