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SächsAPOAA (Sachsen) — Rechtsstellung</w:t>
      </w:r>
    </w:p>
    <w:p>
      <w:r>
        <w:rPr>
          <w:color w:val="555555"/>
          <w:sz w:val="18"/>
        </w:rPr>
        <w:t xml:space="preserve">Sächsische Ausbildungs- und Prüfungsordnung für Amtsanwälte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zur Ausbildung zugelassenen Beamten werden für die Dauer der Ausbildung an die Generalstaatsanwaltschaft Dresden abgeordnet. Sie führen ihre bisherige Amtsbezeichnung fort.</w:t>
      </w:r>
    </w:p>
    <w:p>
      <w:r>
        <w:t xml:space="preserve">(2) Mit dem erfolgreichen Abschluss der Ausbildung erwerben die Beamten keinen Anspruch auf Ernennung zum Amtsanwalt.</w:t>
      </w:r>
    </w:p>
    <w:p>
      <w:r>
        <w:rPr>
          <w:color w:val="555555"/>
          <w:sz w:val="17"/>
        </w:rPr>
        <w:t xml:space="preserve">Zitiervorschlag: § 4 SächsAPOAA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https://recht.nulegal.eu/gesetze/S%C3%A4chsAPOAA/4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