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SächsAGeIDKG (Sachsen)</w:t>
      </w:r>
    </w:p>
    <w:p>
      <w:r>
        <w:rPr>
          <w:color w:val="555555"/>
          <w:sz w:val="18"/>
        </w:rPr>
        <w:t xml:space="preserve">Sächsisches Ausführungsgesetz zum eID-Karte-Gesetz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24. März 2021 das folgende Gesetz beschlossen:</w:t>
      </w:r>
    </w:p>
    <w:p>
      <w:r>
        <w:rPr>
          <w:color w:val="555555"/>
          <w:sz w:val="17"/>
        </w:rPr>
        <w:t xml:space="preserve">Zitiervorschlag: Eingangsformel SächsAGeIDKG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https://recht.nulegal.eu/gesetze/S%C3%A4chsAGeIDKG/eingangsformel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SächsAGeIDKG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