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SächsAGVermG (Sachsen) — Rechtsvorschriften</w:t>
      </w:r>
    </w:p>
    <w:p>
      <w:r>
        <w:rPr>
          <w:color w:val="555555"/>
          <w:sz w:val="18"/>
        </w:rPr>
        <w:t xml:space="preserve">Sächsisches Gesetz zur Ausführung des Vermögensgesetzes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des Innern wird ermächtigt, durch Rechtsverordnung abweichend von § 1 Abs. 1 die Anzahl und die Zuständigkeit der Ämter zur Regelung offener Vermögensfragen zu bestimmen. Danach kann ein solches Amt auch für mehrere Kreise, Kreisfreien Städte oder mit landesweiter Zuständigkeit gebildet werden.</w:t>
      </w:r>
    </w:p>
    <w:p>
      <w:r>
        <w:rPr>
          <w:color w:val="555555"/>
          <w:sz w:val="17"/>
        </w:rPr>
        <w:t xml:space="preserve">Zitiervorschlag: § 5 SächsAGVermG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https://recht.nulegal.eu/gesetze/S%C3%A4chsAGVermG/5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SächsAGVermG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