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SächsAGTierNebG (Sachsen)</w:t>
      </w:r>
    </w:p>
    <w:p>
      <w:r>
        <w:rPr>
          <w:color w:val="555555"/>
          <w:sz w:val="18"/>
        </w:rPr>
        <w:t xml:space="preserve">Sächsisches Ausführungsgesetz zum Tierische Nebenprodukte-Beseitigungsgesetz und zu weiteren Vorschriften über die Verarbeitung und Beseitigung von nicht für den menschlichen Verzehr bestimmten tierischen Nebenprodukten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Sächsische Landtag hat am 9. Dezember 2004 das folgende Gesetz beschlossen:</w:t>
      </w:r>
    </w:p>
    <w:p>
      <w:r>
        <w:rPr>
          <w:color w:val="555555"/>
          <w:sz w:val="17"/>
        </w:rPr>
        <w:t xml:space="preserve">Zitiervorschlag: Eingangsformel SächsAGTierNebG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https://recht.nulegal.eu/gesetze/S%C3%A4chsAGTierNebG/eingangsformel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