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SächsAGTierGesG (Sachsen) — Haushalts- und Wirtschaftsführung</w:t>
      </w:r>
    </w:p>
    <w:p>
      <w:r>
        <w:rPr>
          <w:color w:val="555555"/>
          <w:sz w:val="18"/>
        </w:rPr>
        <w:t xml:space="preserve">Sächsisches Ausführungsgesetz zum Tiergesundheitsgesetz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Haushalts- und Wirtschaftsführung der Tierseuchenkasse gelten die haushaltsrechtlichen Bestimmungen des Freistaates Sachsen.</w:t>
      </w:r>
    </w:p>
    <w:p>
      <w:r>
        <w:t xml:space="preserve">(2) Für Entschädigungsleistungen hat die Tierseuchenkasse aus den Einnahmen nach § 22 Abs. 1 Nr. 1 in angemessenem Umfang Rücklagen zu bilden.</w:t>
      </w:r>
    </w:p>
    <w:p>
      <w:r>
        <w:rPr>
          <w:color w:val="555555"/>
          <w:sz w:val="17"/>
        </w:rPr>
        <w:t xml:space="preserve">Zitiervorschlag: § 21 SächsAGTierGesG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https://recht.nulegal.eu/gesetze/S%C3%A4chsAGTierGesG/21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