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SächsAGSGB (Sachsen) — Beteiligung sozial erfahrener Dritter</w:t>
      </w:r>
    </w:p>
    <w:p>
      <w:r>
        <w:rPr>
          <w:color w:val="555555"/>
          <w:sz w:val="18"/>
        </w:rPr>
        <w:t xml:space="preserve">Sächsisches Gesetz zur Ausführung des Sozialgesetzbuches</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116 des Zwölften Buches Sozialgesetzbuch müssen vor dem Erlass allgemeiner Verwaltungsvorschriften und eines Verwaltungsaktes über einen Widerspruch gegen die Ablehnung der Sozialhilfe oder gegen die Festsetzung ihrer Art und Höhe sozial erfahrene Dritte nicht gehört werden.</w:t>
      </w:r>
    </w:p>
    <w:p>
      <w:r>
        <w:rPr>
          <w:color w:val="555555"/>
          <w:sz w:val="17"/>
        </w:rPr>
        <w:t xml:space="preserve">Zitiervorschlag: § 21 SächsAGSGB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https://recht.nulegal.eu/gesetze/S%C3%A4chsAGSGB/21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SächsAGSGB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