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SächsAGPStG (Sachsen)</w:t>
      </w:r>
    </w:p>
    <w:p>
      <w:r>
        <w:rPr>
          <w:color w:val="555555"/>
          <w:sz w:val="18"/>
        </w:rPr>
        <w:t xml:space="preserve">Sächsisches Gesetz zur Ausführung des Personenstandsgesetzes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11. Dezember 2008</w:t>
      </w:r>
    </w:p>
    <w:p>
      <w:r>
        <w:rPr>
          <w:color w:val="555555"/>
          <w:sz w:val="17"/>
        </w:rPr>
        <w:t xml:space="preserve">Zitiervorschlag: Eingangsformel SächsAGPStG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https://recht.nulegal.eu/gesetze/S%C3%A4chsAGPStG/eingangsformel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