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SächsAAKVO (Sachsen)</w:t>
      </w:r>
    </w:p>
    <w:p>
      <w:r>
        <w:rPr>
          <w:color w:val="555555"/>
          <w:sz w:val="18"/>
        </w:rPr>
        <w:t xml:space="preserve">Sächsische Amtsarztkursverordnung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28. Oktober 2008</w:t>
      </w:r>
    </w:p>
    <w:p>
      <w:r>
        <w:t xml:space="preserve">Aufgrund von § 2a des Gesetzes über den öffentlichen Gesundheitsdienst im Freistaat Sachsen (SächsGDG) vom 11. Dezember 1991 (SächsGVBl. S. 413), das zuletzt durch Artikel 2 des Gesetzes vom 13. Juni 2008 (SächsGVBl. S. 330, 332) geändert worden ist, wird verordnet:</w:t>
      </w:r>
    </w:p>
    <w:p>
      <w:r>
        <w:rPr>
          <w:color w:val="555555"/>
          <w:sz w:val="17"/>
        </w:rPr>
        <w:t xml:space="preserve">Zitiervorschlag: Eingangsformel SächsAAKVO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https://recht.nulegal.eu/gesetze/S%C3%A4chsAAKVO/eingangsformel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