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SächsAAKVO (Sachsen) — Fortbildungs- und Prüfungsausschuss</w:t>
      </w:r>
    </w:p>
    <w:p>
      <w:r>
        <w:rPr>
          <w:color w:val="555555"/>
          <w:sz w:val="18"/>
        </w:rPr>
        <w:t xml:space="preserve">Sächsische Amtsarztkursverordnung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Staatsministerium für Soziales und Verbraucherschutz richtet einen Fortbildungs- und Prüfungsausschuss unter Vorsitz eines Vertreters des Staatsministeriums für Soziales und Verbraucherschutz ein.</w:t>
      </w:r>
    </w:p>
    <w:p>
      <w:r>
        <w:t xml:space="preserve">(2) Dem Fortbildungs- und Prüfungsausschuss gehören als weitere Mitglieder an:</w:t>
      </w:r>
    </w:p>
    <w:p>
      <w:r>
        <w:t xml:space="preserve">1. 1 Vertreter des Staatsministeriums für Soziales und Verbraucherschutz,</w:t>
      </w:r>
    </w:p>
    <w:p>
      <w:r>
        <w:t xml:space="preserve">2. 1 Vertreter des Vorstandes des Landesverbandes Sachsen der Ärzte und Zahnärzte des öffentlichen Gesundheitsdienstes (LVÖGD),</w:t>
      </w:r>
    </w:p>
    <w:p>
      <w:r>
        <w:t xml:space="preserve">3. 2 Vertreter aus den Fachausschüssen des LVÖGD und</w:t>
      </w:r>
    </w:p>
    <w:p>
      <w:r>
        <w:t xml:space="preserve">4. 1 Vertreter des Ausschusses Ärzte im Öffentlichen Gesundheitsdienst der Sächsischen Landesärztekammer.</w:t>
      </w:r>
    </w:p>
    <w:p>
      <w:r>
        <w:t xml:space="preserve">Die weiteren Mitglieder werden auf Vorschlag der entsendenden Einrichtungen durch das Staatsministerium für Soziales und Verbraucherschutz für die Dauer von 2 Jahren ernannt.</w:t>
      </w:r>
    </w:p>
    <w:p>
      <w:r>
        <w:t xml:space="preserve">(3) Der Fortbildungs- und Prüfungsausschuss entscheidet mit Stimmenmehrheit. Bei Stimmengleichheit entscheidet die Stimme des Vorsitzenden.</w:t>
      </w:r>
    </w:p>
    <w:p>
      <w:r>
        <w:t xml:space="preserve">(4) Der Fortbildungs- und Prüfungsausschuss ist befugt:</w:t>
      </w:r>
    </w:p>
    <w:p>
      <w:r>
        <w:t xml:space="preserve">1. die Untergliederung der Lehrgebiete in Themengebiete und die inhaltlichen Schwerpunkte der Themengebiete festzulegen und</w:t>
      </w:r>
    </w:p>
    <w:p>
      <w:r>
        <w:t xml:space="preserve">2. den Ablauf sowie die inhaltlichen Schwerpunkte der Prüfungen zu bestimmen.</w:t>
      </w:r>
    </w:p>
    <w:p>
      <w:r>
        <w:t xml:space="preserve">(5) Bei der Wahrnehmung von Prüfungsangelegenheiten unterliegen die Mitglieder des Fortbildungs- und Prüfungsausschusses keinen Weisungen.</w:t>
      </w:r>
    </w:p>
    <w:p>
      <w:r>
        <w:rPr>
          <w:color w:val="555555"/>
          <w:sz w:val="17"/>
        </w:rPr>
        <w:t xml:space="preserve">Zitiervorschlag: § 2 SächsAAKVO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https://recht.nulegal.eu/gesetze/S%C3%A4chsAAKVO/2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SächsAAKVO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