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SächsÖKontrVO (Sachsen) — Übergangsbestimmungen</w:t>
      </w:r>
    </w:p>
    <w:p>
      <w:r>
        <w:rPr>
          <w:color w:val="555555"/>
          <w:sz w:val="18"/>
        </w:rPr>
        <w:t xml:space="preserve">Sächsische Ökokontrollstellenverordnung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Kontrollstellen, die bei Inkrafttreten dieser Verordnung gemäß § 4 Absatz 1 in Verbindung mit Absatz 3 des Öko-Landbaugesetzes durch die Bundesanstalt für Landwirtschaft und Ernährung mit Wirkung für den Freistaat Sachsen zugelassen sind und im Freistaat Sachsen Zertifizierungen gemäß § 3 Absatz 1 Satz 1 des Öko-Landbaugesetzes durchführen, gelten als vorläufig beauftragte Kontrollstellen im Sinne dieser Verordnung. Unbeschadet anderer Vorschriften erlischt diese vorläufige Beauftragung</w:t>
      </w:r>
    </w:p>
    <w:p>
      <w:r>
        <w:t xml:space="preserve">1. wenn nicht bis zum 31. Januar 2025 die Beauftragung nach § 3 Absatz 2 beantragt wird,</w:t>
      </w:r>
    </w:p>
    <w:p>
      <w:r>
        <w:t xml:space="preserve">2. im Falle rechtzeitiger Antragstellung mit Unanfechtbarkeit der Entscheidung über den Antrag nach § 3 Absatz 2 oder</w:t>
      </w:r>
    </w:p>
    <w:p>
      <w:r>
        <w:t xml:space="preserve">3. im Falle des Erlöschens der Zulassung nach § 4 Öko-Landbaugesetzes .</w:t>
      </w:r>
    </w:p>
    <w:p>
      <w:r>
        <w:rPr>
          <w:color w:val="555555"/>
          <w:sz w:val="17"/>
        </w:rPr>
        <w:t xml:space="preserve">Zitiervorschlag: § 7 SächsÖKontrVO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https://recht.nulegal.eu/gesetze/S%C3%A4chs%C3%96KontrVO/7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SächsÖKontrVO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