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SäHO (Sachsen) — Prüfungsergebnis</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Rechnungshof teilt das Prüfungsergebnis den zuständigen Stellen zur Äußerung innerhalb einer von ihm zu bestimmenden Frist mit. Von einer Mitteilung kann er absehen, wenn es sich um unerhebliche Mängel handelt oder Weiterungen oder Kosten zu erwarten sind, die nicht in angemessenem Verhältnis zu der Bedeutung der Angelegenheit stehen. Der Rechnungshof kann das Prüfungsergebnis auch anderen Stellen mitteilen, soweit er dies aus besonderen Gründen für erforderlich hält.</w:t>
      </w:r>
    </w:p>
    <w:p>
      <w:r>
        <w:t xml:space="preserve">(2) Prüfungsergebnisse von grundsätzlicher oder erheblicher finanzieller Bedeutung teilt der Rechnungshof auch dem Staatsministerium der Finanzen und dem zuständigen Staatsministerium mit.</w:t>
      </w:r>
    </w:p>
    <w:p>
      <w:r>
        <w:t xml:space="preserve">(3) Der Rechnungshof ist zu hören, wenn die Verwaltung Ansprüche des Staates, die in Prüfungsmitteilungen erörtert worden sind, nicht verfolgen will. Er kann auf die Anhörung verzichten.</w:t>
      </w:r>
    </w:p>
    <w:p>
      <w:r>
        <w:rPr>
          <w:color w:val="555555"/>
          <w:sz w:val="17"/>
        </w:rPr>
        <w:t xml:space="preserve">Zitiervorschlag: § 96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