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SäHO (Sachsen) — Inhalt der Prüfung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 erstreckt sich auf die Einhaltung der für die Haushalts- und Wirtschaftsführung geltenden Vorschriften und Grundsätze, insbesondere darauf, ob</w:t>
      </w:r>
    </w:p>
    <w:p>
      <w:r>
        <w:t xml:space="preserve">1. wirtschaftlich und sparsam verfahren wird,</w:t>
      </w:r>
    </w:p>
    <w:p>
      <w:r>
        <w:t xml:space="preserve">2. die Aufgabe mit geringeren Ausgaben (Effizienz), insbesondere mit geringerem Personal oder Sachaufwand oder bei gegebenen Ausgaben wirksamer (Effektivität) erfüllt werden kann,</w:t>
      </w:r>
    </w:p>
    <w:p>
      <w:r>
        <w:t xml:space="preserve">3. das Haushaltsgesetz und der Haushaltsplan eingehalten worden sind,</w:t>
      </w:r>
    </w:p>
    <w:p>
      <w:r>
        <w:t xml:space="preserve">4. die Einnahmen und Ausgaben begründet und belegt sowie die Haushaltsrechnung und die Vermögensrechnung ordnungsgemäß aufgestellt sind.</w:t>
      </w:r>
    </w:p>
    <w:p>
      <w:r>
        <w:rPr>
          <w:color w:val="555555"/>
          <w:sz w:val="17"/>
        </w:rPr>
        <w:t xml:space="preserve">Zitiervorschlag: § 90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https://recht.nulegal.eu/gesetze/S%C3%A4HO/90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