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 SäHO (Sachsen) — Vermögensnachweis</w:t>
      </w:r>
    </w:p>
    <w:p>
      <w:r>
        <w:rPr>
          <w:color w:val="555555"/>
          <w:sz w:val="18"/>
        </w:rPr>
        <w:t xml:space="preserve">Sächsische Haushaltsordnung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Über das Vermögen und die Schulden ist Buch zu führen oder ein anderer Nachweis zu erbringen. Das Nähere regelt das Staatsministerium der Finanzen im Einvernehmen mit dem Rechnungshof.</w:t>
      </w:r>
    </w:p>
    <w:p>
      <w:r>
        <w:t xml:space="preserve">(2) Der Nachweis über das Vermögen und die Schulden kann mit der Buchführung über die Einnahmen und Ausgaben verbunden werden.</w:t>
      </w:r>
    </w:p>
    <w:p>
      <w:r>
        <w:rPr>
          <w:color w:val="555555"/>
          <w:sz w:val="17"/>
        </w:rPr>
        <w:t xml:space="preserve">Zitiervorschlag: § 73 SäHO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https://recht.nulegal.eu/gesetze/S%C3%A4HO/73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