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53 SäHO (Sachsen) — Billigkeitsleistungen</w:t>
      </w:r>
    </w:p>
    <w:p>
      <w:r>
        <w:rPr>
          <w:color w:val="555555"/>
          <w:sz w:val="18"/>
        </w:rPr>
        <w:t xml:space="preserve">Sächsische Haushaltsordnung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Leistungen aus Gründen der Billigkeit dürfen nur gewährt werden, wenn dafür Ausgabemittel besonders zur Verfügung gestellt sind.</w:t>
      </w:r>
    </w:p>
    <w:p>
      <w:r>
        <w:rPr>
          <w:color w:val="555555"/>
          <w:sz w:val="17"/>
        </w:rPr>
        <w:t xml:space="preserve">Zitiervorschlag: § 53 SäHO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https://recht.nulegal.eu/gesetze/S%C3%A4HO/53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