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SäHO (Sachsen) — Konjunkturpolitisch bedingte Maßnahmen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Haushaltsplan sind Leertitel für Ausgaben nach § 6 Abs. 2 Sätze 1 und 2 in Verbindung mit § 14 des Gesetzes zur Förderung der Stabilität und des Wachstums der Wirtschaft einzustellen. Ausgaben aus diesen Titeln dürfen nur mit Zustimmung des Landtags und nur insoweit geleistet werden, als Einnahmen aus der Konjunkturausgleichsrücklage oder aus Krediten vorhanden sind. Die Zustimmung des Landtags gilt als erteilt, wenn er sie nicht binnen vier Wochen nach Eingang der Vorlage der Staatsregierung verweigert hat.</w:t>
      </w:r>
    </w:p>
    <w:p>
      <w:r>
        <w:t xml:space="preserve">(2) Bei Vorlagen, die dem Landtag nach Absatz 1 zugeleitet werden, kann dieser Ausgaben kürzen.</w:t>
      </w:r>
    </w:p>
    <w:p>
      <w:r>
        <w:rPr>
          <w:color w:val="555555"/>
          <w:sz w:val="17"/>
        </w:rPr>
        <w:t xml:space="preserve">Zitiervorschlag: § 42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