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SäHO (Sachsen) — Verpflichtungsermächtigungen</w:t>
      </w:r>
    </w:p>
    <w:p>
      <w:r>
        <w:rPr>
          <w:color w:val="555555"/>
          <w:sz w:val="18"/>
        </w:rPr>
        <w:t xml:space="preserve">Sächsische Haushaltsordnung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Maßnahmen, die den Staat zur Leistung von Ausgaben in künftigen Haushaltsjahren verpflichten können, sind nur zulässig, wenn der Haushaltsplan dazu ermächtigt. Das Staatsministerium der Finanzen kann unter den Voraussetzungen des § 37 Abs. 1 Satz 2 Ausnahmen zulassen; § 37 Abs. 4 gilt entsprechend.</w:t>
      </w:r>
    </w:p>
    <w:p>
      <w:r>
        <w:t xml:space="preserve">(2) Maßnahmen nach Absatz 1 bedürfen der Einwilligung des Staatsministeriums der Finanzen, soweit es nicht darauf verzichtet.</w:t>
      </w:r>
    </w:p>
    <w:p>
      <w:r>
        <w:t xml:space="preserve">(3) Das Staatsministerium der Finanzen ist bei Maßnahmen nach Absatz 1 von grundsätzlicher oder erheblicher finanzieller Bedeutung über den Beginn und Verlauf von Verhandlungen zu unterrichten.</w:t>
      </w:r>
    </w:p>
    <w:p>
      <w:r>
        <w:t xml:space="preserve">(4) Verpflichtungen für laufende Geschäfte dürfen eingegangen werden, ohne dass die Voraussetzungen der Absätze 1 und 2 vorliegen. Einer Verpflichtungsermächtigung bedarf es auch dann nicht, wenn zu Lasten übertragbarer Ausgaben Verpflichtungen eingegangen werden, die im folgenden Haushaltsjahr zu Ausgaben führen. Das Nähere regelt das Staatsministerium der Finanzen.</w:t>
      </w:r>
    </w:p>
    <w:p>
      <w:r>
        <w:t xml:space="preserve">(5) Die Absätze 1 bis 4 sind auf Staatsverträge im Sinne des § 10 Abs. 1 nicht anzuwenden.</w:t>
      </w:r>
    </w:p>
    <w:p>
      <w:r>
        <w:rPr>
          <w:color w:val="555555"/>
          <w:sz w:val="17"/>
        </w:rPr>
        <w:t xml:space="preserve">Zitiervorschlag: § 38 SäHO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https://recht.nulegal.eu/gesetze/S%C3%A4HO/38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