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SäHO (Sachsen) — Bruttonachweis, Einzelnachweis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Alle Einnahmen und Ausgaben sind mit ihrem vollen Betrag bei dem hierfür vorgesehenen Titel zu buchen, soweit sich aus § 15 Abs. 1 Satz 2 und 3 nichts anderes ergibt.</w:t>
      </w:r>
    </w:p>
    <w:p>
      <w:r>
        <w:t xml:space="preserve">(2) Für den gleichen Zweck dürfen Ausgaben aus verschiedenen Titeln nur geleistet werden, soweit der Haushaltsplan dies zulässt. Entsprechendes gilt für die Inanspruchnahme von Verpflichtungsermächtigungen.</w:t>
      </w:r>
    </w:p>
    <w:p>
      <w:r>
        <w:rPr>
          <w:color w:val="555555"/>
          <w:sz w:val="17"/>
        </w:rPr>
        <w:t xml:space="preserve">Zitiervorschlag: § 35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https://recht.nulegal.eu/gesetze/S%C3%A4HO/35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