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SäHO (Sachsen) — Überschuss, Fehlbetrag</w:t>
      </w:r>
    </w:p>
    <w:p>
      <w:r>
        <w:rPr>
          <w:color w:val="555555"/>
          <w:sz w:val="18"/>
        </w:rPr>
        <w:t xml:space="preserve">Sächsische Haushaltsordnung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Überschuss oder der Fehlbetrag ist der Unterschied zwischen den tatsächlich eingegangenen Einnahmen (Ist-Einnahmen) und den tatsächlich geleisteten Ausgaben (Ist-Ausgaben) zuzüglich des Unterschieds zwischen den aus dem Vorjahr übertragenen und den in das kommende Jahr zu übertragenden Einnahme- und Ausgaberesten.</w:t>
      </w:r>
    </w:p>
    <w:p>
      <w:r>
        <w:t xml:space="preserve">(2) Übersteigen die Einnahmen die Ausgaben, so ist der übersteigende Betrag insbesondere zur Verminderung des Kreditbedarfs oder zur Tilgung von Schulden zu verwenden oder Rücklagen zuzuführen. Ein danach noch verbleibender Überschuss ist in den nächsten festzustellenden Haushaltsplan einzustellen. § 6 Abs. 1 Satz 3 des Gesetzes zur Förderung der Stabilität und des Wachstums der Wirtschaft bleibt unberührt.</w:t>
      </w:r>
    </w:p>
    <w:p>
      <w:r>
        <w:t xml:space="preserve">(3) Ein Fehlbetrag ist spätestens in den Haushaltsplan für das zweitnächste Haushaltsjahr einzustellen. Er darf durch Einnahmen aus Krediten nur gedeckt werden, soweit die Möglichkeiten einer Kreditaufnahme nicht ausgeschöpft sind.</w:t>
      </w:r>
    </w:p>
    <w:p>
      <w:r>
        <w:t xml:space="preserve">(4) Eine Entnahme aus den in Absatz 2 genannten Rücklagen oder deren Auflösung bedarf der Einwilligung des Haushalts- und Finanzausschusses.</w:t>
      </w:r>
    </w:p>
    <w:p>
      <w:r>
        <w:rPr>
          <w:color w:val="555555"/>
          <w:sz w:val="17"/>
        </w:rPr>
        <w:t xml:space="preserve">Zitiervorschlag: § 25 SäHO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https://recht.nulegal.eu/gesetze/S%C3%A4HO/25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