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SäHO (Sachsen) — Raumbedarfsdeckung, Baumaßnahmen, größere Beschaffungen, größere Entwicklungsvorhaben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Ausgaben und Verpflichtungsermächtigungen im Rahmen staatlicher Raumbedarfsdeckung dürfen erst veranschlagt werden, wenn Raumbedarfe anerkannt sind und vergleichende Wirtschaftlichkeitsuntersuchungen vorliegen, aus denen die Angemessenheit der Kosten und Folgekosten einer Maßnahme hervorgeht. Das Staatsministerium der Finanzen kann Ausnahmen zulassen.</w:t>
      </w:r>
    </w:p>
    <w:p>
      <w:r>
        <w:t xml:space="preserve">(2) Ausgaben und Verpflichtungsermächtigungen für Baumaßnahmen dürfen erst veranschlagt werden, wenn Pläne, Kostenermittlungen und Erläuterungen vorliegen, aus denen die Art der Ausführung, die Kosten der Baumaßnahme, des Grunderwerbs und der Einrichtungen sowie die vorgesehene Finanzierung und ein Zeitplan ersichtlich sind. Den Unterlagen ist eine Schätzung der nach Fertigstellung der Maßnahme entstehenden jährlichen Haushaltsbelastungen beizufügen. Für kleinere Bauvorhaben kann mit Einwilligung des Staatsministeriums der Finanzen von diesen Vorschriften abgewichen werden.</w:t>
      </w:r>
    </w:p>
    <w:p>
      <w:r>
        <w:t xml:space="preserve">(3) Ausgaben und Verpflichtungsermächtigungen für größere Beschaffungen und größere Entwicklungsvorhaben dürfen erst veranschlagt werden, wenn Planungen und Schätzungen der Kosten und Kostenbeteiligungen vorliegen. Absatz 2 Satz 2 gilt entsprechend.</w:t>
      </w:r>
    </w:p>
    <w:p>
      <w:r>
        <w:t xml:space="preserve">(4) Ausnahmen von den Absätzen 2 und 3 sind nur zulässig, wenn es im Einzelfall nicht möglich ist, die Unterlagen rechtzeitig fertig zu stellen, und aus einer späteren Veranschlagung dem Land ein Nachteil erwachsen würde. Die Notwendigkeit einer Ausnahme ist in den Erläuterungen zu begründen. Die Ausgaben und Verpflichtungsermächtigungen für Maßnahmen, für welche die Unterlagen noch nicht vorliegen, sind gesperrt.</w:t>
      </w:r>
    </w:p>
    <w:p>
      <w:r>
        <w:t xml:space="preserve">(5) Auf einzeln veranschlagte Ausgaben und Verpflichtungsermächtigungen für Zuwendungen sind die Absätze 2 bis 4 entsprechend anzuwenden. Das Staatsministerium der Finanzen kann Ausnahmen zulassen.</w:t>
      </w:r>
    </w:p>
    <w:p>
      <w:r>
        <w:rPr>
          <w:color w:val="555555"/>
          <w:sz w:val="17"/>
        </w:rPr>
        <w:t xml:space="preserve">Zitiervorschlag: § 24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