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SäHO (Sachsen) — Wegfall- und Umwandlungsvermerke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Ausgaben und Planstellen sind als künftig wegfallend zu bezeichnen, soweit sie in den folgenden Haushaltsjahren voraussichtlich nicht mehr benötigt werden.</w:t>
      </w:r>
    </w:p>
    <w:p>
      <w:r>
        <w:t xml:space="preserve">(2) Planstellen sind als künftig umzuwandeln zu bezeichnen, soweit sie in den folgenden Haushaltsjahren voraussichtlich in Planstellen einer niedrigeren Besoldungsgruppe oder in Stellen für Beschäftigte umgewandelt werden können.</w:t>
      </w:r>
    </w:p>
    <w:p>
      <w:r>
        <w:t xml:space="preserve">(3) Die Absätze 1 und 2 gelten für andere Stellen als Planstellen entsprechend.</w:t>
      </w:r>
    </w:p>
    <w:p>
      <w:r>
        <w:rPr>
          <w:color w:val="555555"/>
          <w:sz w:val="17"/>
        </w:rPr>
        <w:t xml:space="preserve">Zitiervorschlag: § 21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