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SäHO (Sachsen) — Geltungsdauer der Haushaltspläne</w:t>
      </w:r>
    </w:p>
    <w:p>
      <w:r>
        <w:rPr>
          <w:color w:val="555555"/>
          <w:sz w:val="18"/>
        </w:rPr>
        <w:t xml:space="preserve">Sächsische Haushaltsordnung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Haushaltsplan kann für zwei Haushaltsjahre, nach Jahren getrennt, aufgestellt werden.</w:t>
      </w:r>
    </w:p>
    <w:p>
      <w:r>
        <w:rPr>
          <w:color w:val="555555"/>
          <w:sz w:val="17"/>
        </w:rPr>
        <w:t xml:space="preserve">Zitiervorschlag: § 12 SäHO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https://recht.nulegal.eu/gesetze/S%C3%A4HO/12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