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112 SäHO (Sachsen) — Sonderregelungen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§§ 105 bis 111 finden keine Anwendung auf die Haushalts- und Wirtschaftsführung der</w:t>
      </w:r>
    </w:p>
    <w:p>
      <w:r>
        <w:t xml:space="preserve">1. unter das Gesetz über die öffentlich-rechtlichen Kreditinstitute im Freistaat Sachsen und die Sachsen-Finanzgruppe fallenden Sparkassen,</w:t>
      </w:r>
    </w:p>
    <w:p>
      <w:r>
        <w:t xml:space="preserve">2. landesunmittelbaren Träger der gesetzlichen Krankenversicherung, der gesetzlichen Unfallversicherung und der gesetzlichen Rentenversicherung einschließlich der Altershilfe für Landwirte; dies gilt auch für die Verbände der genannten Sozialversicherungsträger und für sonstige Vereinigungen auf dem Gebiet der Sozialversicherung.</w:t>
      </w:r>
    </w:p>
    <w:p>
      <w:r>
        <w:t xml:space="preserve">Andere gesetzliche Vorschriften, die die Prüfung durch den Rechnungshof bei Stellen außerhalb der Staatsverwaltung regeln, bleiben unberührt.</w:t>
      </w:r>
    </w:p>
    <w:p>
      <w:r>
        <w:t xml:space="preserve">(2) Auf Unternehmen in der Rechtsform einer landesunmittelbaren juristischen Person des öffentlichen Rechts sind unabhängig von der Höhe der Beteiligung des Staates § 65 Abs. 1 Nr. 3 und 4 sowie Abs. 2, § 68 Abs. 1 und § 69 entsprechend, § 111 unmittelbar anzuwenden. Für Unternehmen in der Rechtsform einer juristischen Person des privaten Rechts, an denen die in Satz 1 genannten Unternehmen unmittelbar oder mittelbar mit Mehrheit beteiligt sind, gelten die §§ 53 und 54 des Haushaltsgrundsätzegesetzes und die §§ 65 bis 69 entsprechend.</w:t>
      </w:r>
    </w:p>
    <w:p>
      <w:r>
        <w:rPr>
          <w:color w:val="555555"/>
          <w:sz w:val="17"/>
        </w:rPr>
        <w:t xml:space="preserve">Zitiervorschlag: § 112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https://recht.nulegal.eu/gesetze/S%C3%A4HO/112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