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109 SäHO (Sachsen) — Rechnungslegung, Prüfung, Entlastung</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Nach Ende des Haushaltsjahres hat das zur Geschäftsführung berufene Organ der landesunmittelbaren juristischen Person des öffentlichen Rechts eine Rechnung aufzustellen.</w:t>
      </w:r>
    </w:p>
    <w:p>
      <w:r>
        <w:t xml:space="preserve">(2) Die Rechnung ist, unbeschadet einer Prüfung durch den Rechnungshof nach § 111, von der durch Gesetz oder Satzung bestimmten Stelle zu prüfen. Die Ergebnisse der Prüfung sind dem zuständigen Staatsministerium und dem Rechnungshof vorzulegen. Die Satzungsvorschrift über die Durchführung der Prüfung bedarf der Zustimmung des zuständigen Staatsministeriums im Einvernehmen mit dem Rechnungshof.</w:t>
      </w:r>
    </w:p>
    <w:p>
      <w:r>
        <w:t xml:space="preserve">(3) Die Entlastung erteilt das zuständige Staatsministerium. Ist ein besonderes Beschlussorgan vorhanden, obliegt ihm die Entlastung; die Entlastung bedarf dann der Genehmigung des zuständigen Staatsministeriums.</w:t>
      </w:r>
    </w:p>
    <w:p>
      <w:r>
        <w:rPr>
          <w:color w:val="555555"/>
          <w:sz w:val="17"/>
        </w:rPr>
        <w:t xml:space="preserve">Zitiervorschlag: § 109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https://recht.nulegal.eu/gesetze/S%C3%A4HO/109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