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SÜG — Allgemeine Grundsätze zum Schutz von Verschlusssachen, Mitwirkung beim materiellen Geheimschutz</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Verschlusssachen sind im öffentlichen Interesse, insbesondere zum Schutz des Wohles des Bundes oder eines Landes, geheimhaltungsbedürftige Tatsachen, Gegenstände oder Erkenntnisse, unabhängig von ihrer Darstellungsform. Verschlusssachen können auch Produkte und die dazugehörenden Dokumente sowie zugehörige Schlüsselmittel zur Entschlüsselung, Verschlüsselung und Übertragung von Informationen sein (Kryptomittel). Geheimhaltungsbedürftig im öffentlichen Interesse können auch Geschäfts-, Betriebs-, Erfindungs-, Steuer- oder sonstige private Geheimnisse oder Umstände des persönlichen Lebensbereichs sein.</w:t>
      </w:r>
    </w:p>
    <w:p>
      <w:r>
        <w:t xml:space="preserve">(1a) Von einer Verschlusssache dürfen nur Personen Kenntnis erhalten, die auf Grund ihrer Aufgabenerfüllung Kenntnis haben müssen. Keine Person darf über eine Verschlusssache umfassender oder eher unterrichtet werden, als dies aus Gründen der Aufgabenerfüllung notwendig ist.</w:t>
      </w:r>
    </w:p>
    <w:p>
      <w:r>
        <w:t xml:space="preserve">(2) Verschlusssachen werden entsprechend ihrer Schutzbedürftigkeit von einer amtlichen Stelle des Bundes oder auf deren Veranlassung in folgende Geheimhaltungsgrade eingestuft:</w:t>
      </w:r>
    </w:p>
    <w:p>
      <w:pPr>
        <w:ind w:left="420"/>
      </w:pPr>
      <w:r>
        <w:t xml:space="preserve">1. STRENG GEHEIM, wenn die Kenntnisnahme durch Unbefugte den Bestand oder lebenswichtige Interessen der Bundesrepublik Deutschland oder eines ihrer Länder gefährden kann,</w:t>
      </w:r>
    </w:p>
    <w:p>
      <w:pPr>
        <w:ind w:left="420"/>
      </w:pPr>
      <w:r>
        <w:t xml:space="preserve">2. GEHEIM, wenn die Kenntnisnahme durch Unbefugte die Sicherheit der Bundesrepublik Deutschland oder eines ihrer Länder gefährden oder ihren Interessen schweren Schaden zufügen kann,</w:t>
      </w:r>
    </w:p>
    <w:p>
      <w:pPr>
        <w:ind w:left="420"/>
      </w:pPr>
      <w:r>
        <w:t xml:space="preserve">3. VS-VERTRAULICH, wenn die Kenntnisnahme durch Unbefugte für die Interessen der Bundesrepublik Deutschland oder eines ihrer Länder schädlich sein kann,</w:t>
      </w:r>
    </w:p>
    <w:p>
      <w:pPr>
        <w:ind w:left="420"/>
      </w:pPr>
      <w:r>
        <w:t xml:space="preserve">4. VS-NUR FÜR DEN DIENSTGEBRAUCH, wenn die Kenntnisnahme durch Unbefugte für die Interessen der Bundesrepublik Deutschland oder eines ihrer Länder nachteilig sein kann.</w:t>
      </w:r>
    </w:p>
    <w:p>
      <w:r>
        <w:t xml:space="preserve">(3) Wer auf Grund dieses Gesetzes oder sonst in berechtigter Weise Zugang zu einer Verschlusssache erlangt,</w:t>
      </w:r>
    </w:p>
    <w:p>
      <w:pPr>
        <w:ind w:left="420"/>
      </w:pPr>
      <w:r>
        <w:t xml:space="preserve">1. ist zur Verschwiegenheit über die ihm dadurch zur Kenntnis gelangten Informationen verpflichtet und</w:t>
      </w:r>
    </w:p>
    <w:p>
      <w:pPr>
        <w:ind w:left="420"/>
      </w:pPr>
      <w:r>
        <w:t xml:space="preserve">2. hat durch Einhaltung der Schutzmaßnahmen, die auf Grund dieses Gesetzes erlassen worden sind, dafür Sorge zu tragen, dass keine unbefugte Person Kenntnis von der Verschlusssache erlangt.</w:t>
      </w:r>
    </w:p>
    <w:p>
      <w:r>
        <w:t xml:space="preserve">(4) Behörden und sonstige öffentliche Stellen des Bundes sind verpflichtet, Verschlusssachen durch Maßnahmen des materiellen Geheimschutzes nach der jeweils für sie geltenden allgemeinen Verwaltungsvorschrift, die nach § 35 zu erlassen ist, so zu schützen, dass Durchbrechungen ihrer Vertraulichkeit entgegengewirkt wird, und darauf hinzuwirken, dass solche Versuche erkannt und aufgeklärt werden können. Dies gilt auch für die Weitergabe von Verschlusssachen an nichtöffentliche Stellen. Die eine Verschlusssache herausgebende Stelle kann weitere Vorgaben zum Schutz der Verschlusssache treffen.</w:t>
      </w:r>
    </w:p>
    <w:p>
      <w:r>
        <w:t xml:space="preserve">(5) Bei der Durchführung der nach § 35 Absatz 1 erster Halbsatz zu erlassenden allgemeinen Verwaltungsvorschrift zum materiellen Geheimschutz wirkt das Bundesamt für Sicherheit in der Informationstechnik mit. Bei der Durchführung der nach § 35 Absatz 3 zu erlassenden allgemeinen Verwaltungsvorschrift zum materiellen Geheimschutz wirkt der Militärische Abschirmdienst mit.</w:t>
      </w:r>
    </w:p>
    <w:p>
      <w:r>
        <w:t xml:space="preserve">(6) Bei der Betreuung im materiellen Geheimschutz wirken mit:</w:t>
      </w:r>
    </w:p>
    <w:p>
      <w:pPr>
        <w:ind w:left="420"/>
      </w:pPr>
      <w:r>
        <w:t xml:space="preserve">1. das Bundesamt für Sicherheit in der Informationstechnik</w:t>
      </w:r>
    </w:p>
    <w:p>
      <w:pPr>
        <w:ind w:left="780"/>
      </w:pPr>
      <w:r>
        <w:t xml:space="preserve">a) bei nichtöffentlichen Stellen mit mehrheitlicher Bundesbeteiligung, die Aufgaben der öffentlichen Verwaltung des Bundes wahrnehmen, sowie</w:t>
      </w:r>
    </w:p>
    <w:p>
      <w:pPr>
        <w:ind w:left="780"/>
      </w:pPr>
      <w:r>
        <w:t xml:space="preserve">b) auf Ersuchen</w:t>
      </w:r>
    </w:p>
    <w:p>
      <w:pPr>
        <w:ind w:left="1140"/>
      </w:pPr>
      <w:r>
        <w:t xml:space="preserve">aa) der zuständigen Behörde bei nichtöffentlichen Stellen, soweit es sich nicht um nichtöffentliche Stellen nach Buchstabe a oder Nummer 2 Buchstabe a handelt,</w:t>
      </w:r>
    </w:p>
    <w:p>
      <w:pPr>
        <w:ind w:left="1140"/>
      </w:pPr>
      <w:r>
        <w:t xml:space="preserve">bb) des Bundesnachrichtendienstes oder</w:t>
      </w:r>
    </w:p>
    <w:p>
      <w:pPr>
        <w:ind w:left="1140"/>
      </w:pPr>
      <w:r>
        <w:t xml:space="preserve">cc) des Bundesamtes für Verfassungsschutz,</w:t>
      </w:r>
    </w:p>
    <w:p>
      <w:pPr>
        <w:ind w:left="420"/>
      </w:pPr>
      <w:r>
        <w:t xml:space="preserve">2. die Deutsche militärische Security Accreditation Authority</w:t>
      </w:r>
    </w:p>
    <w:p>
      <w:pPr>
        <w:ind w:left="780"/>
      </w:pPr>
      <w:r>
        <w:t xml:space="preserve">a) bei nichtöffentlichen Stellen mit mehrheitlicher Bundesbeteiligung, die Aufgaben der Bundeswehrverwaltung wahrnehmen, oder</w:t>
      </w:r>
    </w:p>
    <w:p>
      <w:pPr>
        <w:ind w:left="780"/>
      </w:pPr>
      <w:r>
        <w:t xml:space="preserve">b) bei dem Militärischen Abschirmdienst.</w:t>
      </w:r>
    </w:p>
    <w:p>
      <w:r>
        <w:t xml:space="preserve">(7) Das Bundesamt für Verfassungsschutz, der Militärische Abschirmdienst und der Bundesnachrichtendienst teilen dem Bundesamt für Sicherheit in der Informationstechnik nichtpersonenbezogene Erkenntnisse, die für den Schutz von Verschlusssachen oder die Aufrechterhaltung des Geheimschutzes von Bedeutung sein können, unverzüglich mit. Das gilt nicht, soweit die Erkenntnisse einem Weitergabeverbot unterliegen. § 23 des Bundesverfassungsschutzgesetzes gilt entsprechend.</w:t>
      </w:r>
    </w:p>
    <w:p>
      <w:r>
        <w:rPr>
          <w:color w:val="555555"/>
          <w:sz w:val="17"/>
        </w:rPr>
        <w:t xml:space="preserve">Zitiervorschlag: § 4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