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SÜG — Bußgeldvorschriften</w:t>
      </w:r>
    </w:p>
    <w:p>
      <w:r>
        <w:rPr>
          <w:color w:val="555555"/>
          <w:sz w:val="18"/>
        </w:rPr>
        <w:t xml:space="preserve">Sicherheitsüberprüfungsgesetz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(1) Ordnungswidrig handelt, wer</w:t>
      </w:r>
    </w:p>
    <w:p>
      <w:pPr>
        <w:ind w:left="420"/>
      </w:pPr>
      <w:r>
        <w:t xml:space="preserve">1. entgegen § 25a in Verbindung mit einer Rechtsverordnung nach § 34 Nummer 1 eine Mitteilung nicht, nicht richtig, nicht vollständig oder nicht rechtzeitig macht oder</w:t>
      </w:r>
    </w:p>
    <w:p>
      <w:pPr>
        <w:ind w:left="420"/>
      </w:pPr>
      <w:r>
        <w:t xml:space="preserve">2. entgegen § 27a Absatz 2 den Einsatz einer dort genannten Person nicht, nicht richtig oder nicht rechtzeitig unterbindet.</w:t>
      </w:r>
    </w:p>
    <w:p>
      <w:r>
        <w:t xml:space="preserve">(2) Die Ordnungswidrigkeit kann in den Fällen des Absatzes 1 Nummer 1 mit einer Geldbuße bis zu fünfzigtausend Euro und in den Fällen des Absatzes 1 Nummer 2 mit einer Geldbuße bis zu zehntausend Euro geahndet werden.</w:t>
      </w:r>
    </w:p>
    <w:p>
      <w:r>
        <w:rPr>
          <w:color w:val="555555"/>
          <w:sz w:val="17"/>
        </w:rPr>
        <w:t xml:space="preserve">Zitiervorschlag: § 38 SÜG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https://recht.nulegal.eu/gesetze/S%C3%9CG/38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