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SÜG — Anwendung des Bundesdatenschutzgesetzes, Bundesverfassungsschutzgesetzes, MAD-Gesetzes und BND-Gesetzes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Vorschriften des Bundesdatenschutzgesetzes finden wie folgt Anwendung:</w:t>
      </w:r>
    </w:p>
    <w:p>
      <w:pPr>
        <w:ind w:left="420"/>
      </w:pPr>
      <w:r>
        <w:t xml:space="preserve">1. § 1 Absatz 8, § 16 Absatz 1 und 4 und die §§ 17 bis 21 sowie § 85 finden keine Anwendung,</w:t>
      </w:r>
    </w:p>
    <w:p>
      <w:pPr>
        <w:ind w:left="420"/>
      </w:pPr>
      <w:r>
        <w:t xml:space="preserve">2. die §§ 42, 46, 51 Absatz 1 und 3, die §§ 52, 53, 54 Absatz 1 und 2 sowie die §§ 62, 64, 83 sind entsprechend anzuwenden.</w:t>
      </w:r>
    </w:p>
    <w:p>
      <w:r>
        <w:t xml:space="preserve">(2) Zudem sind anzuwenden:</w:t>
      </w:r>
    </w:p>
    <w:p>
      <w:pPr>
        <w:ind w:left="420"/>
      </w:pPr>
      <w:r>
        <w:t xml:space="preserve">1. die Vorschriften des Ersten Abschnitts und die §§ 14 und 23 Absatz 1 Satz 2 des Bundesverfassungsschutzgesetzes,</w:t>
      </w:r>
    </w:p>
    <w:p>
      <w:pPr>
        <w:ind w:left="420"/>
      </w:pPr>
      <w:r>
        <w:t xml:space="preserve">2. § 2 sowie § 24 Absatz 1 und die §§ 30, 36, 37, 40 und 49 des MAD-Gesetzes und</w:t>
      </w:r>
    </w:p>
    <w:p>
      <w:pPr>
        <w:ind w:left="420"/>
      </w:pPr>
      <w:r>
        <w:t xml:space="preserve">3. § 8 sowie § 9e Absatz 1 Satz 2 des BND-Gesetzes.</w:t>
      </w:r>
    </w:p>
    <w:p>
      <w:r>
        <w:rPr>
          <w:color w:val="555555"/>
          <w:sz w:val="17"/>
        </w:rPr>
        <w:t xml:space="preserve">Zitiervorschlag: § 36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