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SÜG — Verordnungsermächtigung</w:t>
      </w:r>
    </w:p>
    <w:p>
      <w:r>
        <w:rPr>
          <w:color w:val="555555"/>
          <w:sz w:val="18"/>
        </w:rPr>
        <w:t xml:space="preserve">Sicherheitsüberprüfungsgesetz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Bundesregierung wird ermächtigt, durch Rechtsverordnung ohne Zustimmung des Bundesrates festzustellen,</w:t>
      </w:r>
    </w:p>
    <w:p>
      <w:pPr>
        <w:ind w:left="420"/>
      </w:pPr>
      <w:r>
        <w:t xml:space="preserve">1. welche Behörden oder sonstigen öffentlichen Stellen des Bundes oder nichtöffentlichen Stellen oder Teile von ihnen lebens- oder verteidigungswichtige Einrichtungen mit sicherheitsempfindlichen Stellen im Sinne des § 1 Absatz 4 sind,</w:t>
      </w:r>
    </w:p>
    <w:p>
      <w:pPr>
        <w:ind w:left="420"/>
      </w:pPr>
      <w:r>
        <w:t xml:space="preserve">2. welches Bundesministerium für die nichtöffentliche Stelle zuständig ist und</w:t>
      </w:r>
    </w:p>
    <w:p>
      <w:pPr>
        <w:ind w:left="420"/>
      </w:pPr>
      <w:r>
        <w:t xml:space="preserve">3. welche Behörden oder sonstigen öffentlichen Stellen des Bundes Aufgaben im Sinne des § 10 Nummer 3 wahrnehmen.</w:t>
      </w:r>
    </w:p>
    <w:p>
      <w:r>
        <w:rPr>
          <w:color w:val="555555"/>
          <w:sz w:val="17"/>
        </w:rPr>
        <w:t xml:space="preserve">Zitiervorschlag: § 34 SÜG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https://recht.nulegal.eu/gesetze/S%C3%9CG/34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