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SÜG — Datenverarbeitung in Dateisystemen</w:t>
      </w:r>
    </w:p>
    <w:p>
      <w:r>
        <w:rPr>
          <w:color w:val="555555"/>
          <w:sz w:val="18"/>
        </w:rPr>
        <w:t xml:space="preserve">Sicherheitsüberprüfungsgesetz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§ 20 Absatz 1 Satz 1 und 2 und Absatz 2 gilt für die nichtöffentliche Stelle mit der Maßgabe, dass eine Abfrage und ein automatisierter Abgleich der personenbezogenen Daten nur hinsichtlich der betroffenen Person zulässig sind. Die nach § 22 für die zuständige Stelle geltenden Vorschriften zum Berichtigen, Löschen und Einschränken der Verarbeitung personenbezogener Daten finden Anwendung.</w:t>
      </w:r>
    </w:p>
    <w:p>
      <w:r>
        <w:rPr>
          <w:color w:val="555555"/>
          <w:sz w:val="17"/>
        </w:rPr>
        <w:t xml:space="preserve">Zitiervorschlag: § 31 SÜG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https://recht.nulegal.eu/gesetze/S%C3%9CG/31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