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SÜG — Übermittlung von Informationen über persönliche und arbeitsrechtliche Verhältnisse</w:t>
      </w:r>
    </w:p>
    <w:p>
      <w:r>
        <w:rPr>
          <w:color w:val="555555"/>
          <w:sz w:val="18"/>
        </w:rPr>
        <w:t xml:space="preserve">Sicherheitsüberprüfungsgesetz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Die nichtöffentliche Stelle hat der zuständigen Stelle unverzüglich mitzuteilen</w:t>
      </w:r>
    </w:p>
    <w:p>
      <w:pPr>
        <w:ind w:left="420"/>
      </w:pPr>
      <w:r>
        <w:t xml:space="preserve">1. das Ausscheiden aus oder die Nichtaufnahme der sicherheitsempfindlichen Tätigkeit,</w:t>
      </w:r>
    </w:p>
    <w:p>
      <w:pPr>
        <w:ind w:left="420"/>
      </w:pPr>
      <w:r>
        <w:t xml:space="preserve">2. Änderungen des Namens, des Vornamens, des Geschlechtseintrages, eines Wohnsitzes oder der Staatsangehörigkeit,</w:t>
      </w:r>
    </w:p>
    <w:p>
      <w:pPr>
        <w:ind w:left="420"/>
      </w:pPr>
      <w:r>
        <w:t xml:space="preserve">3. Beginn oder Ende einer Ehe, einer Lebenspartnerschaft oder einer auf Dauer angelegten Gemeinschaft und</w:t>
      </w:r>
    </w:p>
    <w:p>
      <w:pPr>
        <w:ind w:left="420"/>
      </w:pPr>
      <w:r>
        <w:t xml:space="preserve">4. auf Anfrage der zuständigen Stelle weitere bei der nichtöffentlichen Stelle vorhandene Informationen zur Aufklärung sicherheitserheblicher Erkenntnisse.</w:t>
      </w:r>
    </w:p>
    <w:p>
      <w:r>
        <w:t xml:space="preserve">(2) § 2 Absatz 2 Satz 6 und 7, § 14 Absatz 5 Satz 1 und die §§ 15a und 15b gelten mit der Maßgabe, dass an die Stelle der zuständigen Stelle die nichtöffentliche Stelle tritt.</w:t>
      </w:r>
    </w:p>
    <w:p>
      <w:r>
        <w:rPr>
          <w:color w:val="555555"/>
          <w:sz w:val="17"/>
        </w:rPr>
        <w:t xml:space="preserve">Zitiervorschlag: § 29 SÜG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https://recht.nulegal.eu/gesetze/S%C3%9CG/29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