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SÜG — Aktualisierung</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nichtöffentliche Stelle leitet der betroffenen Person, die eine sicherheitsempfindliche Tätigkeit ausübt, auf Anforderung der zuständigen Stelle die Sicherheitserklärung in der Regel nach fünf Jahren erneut zu.</w:t>
      </w:r>
    </w:p>
    <w:p>
      <w:r>
        <w:t xml:space="preserve">(2) Die betroffene Person hat die in der Sicherheitserklärung angegebenen Daten im Falle eingetretener Veränderungen zu aktualisieren. Die nichtöffentliche Stelle prüft die Vollständigkeit und Richtigkeit der Aktualisierungen und darf, sofern dies erforderlich ist, die Personalunterlagen beiziehen. Die zuständige Stelle beauftragt die mitwirkende Behörde, die Maßnahmen nach § 12 Absatz 1 im erforderlichen Umfang für die betroffene Person und für die mitbetroffene Person erneut durchzuführen und zu bewerten.</w:t>
      </w:r>
    </w:p>
    <w:p>
      <w:r>
        <w:rPr>
          <w:color w:val="555555"/>
          <w:sz w:val="17"/>
        </w:rPr>
        <w:t xml:space="preserve">Zitiervorschlag: § 28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