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27a SÜG — Einsatz an sicherheitsempfindlicher Stelle</w:t>
      </w:r>
    </w:p>
    <w:p>
      <w:r>
        <w:rPr>
          <w:color w:val="555555"/>
          <w:sz w:val="18"/>
        </w:rPr>
        <w:t xml:space="preserve">Sicherheitsüberprüfungsgesetz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Eine Person darf durch die nichtöffentliche Stelle erst nach der Mitteilung durch die zuständige Stelle nach § 27 Satz 1 Nummer 2 an sicherheitsempfindlicher Stelle eingesetzt werden. Ein Einsatz darf bei einer Untersagung durch die zuständige Stelle nicht erfolgen. § 9 Absatz 2 und 3 bleibt unberührt.</w:t>
      </w:r>
    </w:p>
    <w:p>
      <w:r>
        <w:t xml:space="preserve">(2) Die Betreiber lebens- oder verteidigungswichtiger Einrichtungen sind verpflichtet, den Einsatz von nichtüberprüften oder abgelehnten Personen unverzüglich zu unterbinden, wenn sie von diesem Einsatz Kenntnis erlangen. Dies gilt nicht in den Fällen des § 9 Absatz 2 und 3.</w:t>
      </w:r>
    </w:p>
    <w:p>
      <w:r>
        <w:rPr>
          <w:color w:val="555555"/>
          <w:sz w:val="17"/>
        </w:rPr>
        <w:t xml:space="preserve">Zitiervorschlag: § 27a 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https://recht.nulegal.eu/gesetze/S%C3%9CG/27a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