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SÜG — Übermittlung und Zweckbindung</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im Rahmen der Sicherheitsüberprüfung gespeicherten personenbezogenen Daten dürfen von der zuständigen Stelle oder mitwirkenden Behörde nur für</w:t>
      </w:r>
    </w:p>
    <w:p>
      <w:pPr>
        <w:ind w:left="420"/>
      </w:pPr>
      <w:r>
        <w:t xml:space="preserve">1. die mit der Sicherheitsüberprüfung verfolgten Zwecke,</w:t>
      </w:r>
    </w:p>
    <w:p>
      <w:pPr>
        <w:ind w:left="420"/>
      </w:pPr>
      <w:r>
        <w:t xml:space="preserve">2. die mit Zuverlässigkeitsüberprüfungen nach dem Luftsicherheitsgesetz und dem Atomgesetz verfolgten Zwecke,</w:t>
      </w:r>
    </w:p>
    <w:p>
      <w:pPr>
        <w:ind w:left="420"/>
      </w:pPr>
      <w:r>
        <w:t xml:space="preserve">3. die mit sonstigen gesetzlich geregelten Überprüfungsverfahren zur Feststellung der Zuverlässigkeit verfolgten Zwecke,</w:t>
      </w:r>
    </w:p>
    <w:p>
      <w:pPr>
        <w:ind w:left="420"/>
      </w:pPr>
      <w:r>
        <w:t xml:space="preserve">4. Zwecke der Verhinderung und Verfolgung von Straftaten von erheblicher Bedeutung sowie</w:t>
      </w:r>
    </w:p>
    <w:p>
      <w:pPr>
        <w:ind w:left="420"/>
      </w:pPr>
      <w:r>
        <w:t xml:space="preserve">5. Zwecke parlamentarischer Untersuchungsausschüsse und des Parlamentarischen Kontrollgremiums sowie im Geschäftsbereich des Bundesministeriums der Verteidigung für Zwecke der oder des Wehrbeauftragten des Deutschen Bundestages</w:t>
      </w:r>
    </w:p>
    <w:p>
      <w:r>
        <w:t xml:space="preserve">genutzt und übermittelt werden. Die Übermittlung und Nutzung nach Satz 1 Nummer 2 und 3 ist auf sicherheitserhebliche Erkenntnisse zu beschränken, die für die Bewertung der Zuverlässigkeit für die vorgesehene Verwendung von Bedeutung sein können. Die Strafverfolgungsbehörden dürfen die ihnen nach Satz 1 Nummer 4 übermittelten Daten für Zwecke eines Strafverfahrens nur verwenden, wenn die Strafverfolgung auf andere Weise erheblich weniger erfolgversprechend oder wesentlich erschwert wäre. Die zuständige Stelle darf die gespeicherten personenbezogenen Daten darüber hinaus für Zwecke der disziplinarrechtlichen Verfolgung sowie dienst- oder arbeitsrechtlicher Maßnahmen nutzen und übermitteln, wenn dies zu dem mit der Überprüfung verfolgten Zweck oder zur Verfolgung von konkreten Verstößen gegen die Verpflichtung zur Verfassungstreue erforderlich ist. Die mitwirkende Behörde darf die gespeicherten personenbezogenen Daten darüber hinaus im Rahmen des erforderlichen Umfangs nutzen und übermitteln zur Aufklärung</w:t>
      </w:r>
    </w:p>
    <w:p>
      <w:pPr>
        <w:ind w:left="420"/>
      </w:pPr>
      <w:r>
        <w:t xml:space="preserve">1. von sicherheitsgefährdenden oder geheimdienstlichen Tätigkeiten für eine fremde Macht,</w:t>
      </w:r>
    </w:p>
    <w:p>
      <w:pPr>
        <w:ind w:left="420"/>
      </w:pPr>
      <w:r>
        <w:t xml:space="preserve">2. von Bestrebungen, die darauf gerichtet sind, Gewalt anzuwenden oder Gewaltanwendung vorzubereiten, oder</w:t>
      </w:r>
    </w:p>
    <w:p>
      <w:pPr>
        <w:ind w:left="420"/>
      </w:pPr>
      <w:r>
        <w:t xml:space="preserve">3. sonstiger Bestrebungen von erheblicher Bedeutung.</w:t>
      </w:r>
    </w:p>
    <w:p>
      <w:r>
        <w:t xml:space="preserve">(2) Die Übermittlung der nach § 20 in Dateisystemen gespeicherten Daten ist nur zulässig, soweit sie für die Erfüllung der in Absatz 1 genannten Zwecke erforderlich ist. Die nach § 20 Absatz 1 Satz 3 gespeicherten Daten dürfen zur Erfüllung aller Zwecke des Verfassungsschutzes genutzt und übermittelt werden.</w:t>
      </w:r>
    </w:p>
    <w:p>
      <w:r>
        <w:t xml:space="preserve">(3) Die mitwirkende Behörde darf personenbezogene Daten nach den Absätzen 1 und 2 nur an öffentliche Stellen übermitteln.</w:t>
      </w:r>
    </w:p>
    <w:p>
      <w:r>
        <w:t xml:space="preserve">(4) Die Nutzung oder Übermittlung unterbleibt, soweit gesetzliche Verwendungsregelungen entgegenstehen.</w:t>
      </w:r>
    </w:p>
    <w:p>
      <w:r>
        <w:t xml:space="preserve">(5) Der Empfänger darf die übermittelten Daten nur für den Zweck speichern, nutzen, verändern und übermitteln, zu dessen Erfüllung sie ihm übermittelt werden, und zum Zweck der Strafverfolgung gemäß Absatz 1 Satz 1 Nummer 4. Eine nichtöffentliche Stelle ist darauf hinzuweisen.</w:t>
      </w:r>
    </w:p>
    <w:p>
      <w:r>
        <w:rPr>
          <w:color w:val="555555"/>
          <w:sz w:val="17"/>
        </w:rPr>
        <w:t xml:space="preserve">Zitiervorschlag: § 21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