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SÜG — Aufbewahrung und Vernichtung der Unterlagen</w:t>
      </w:r>
    </w:p>
    <w:p>
      <w:r>
        <w:rPr>
          <w:color w:val="555555"/>
          <w:sz w:val="18"/>
        </w:rPr>
        <w:t xml:space="preserve">Sicherheitsüberprüfungsgesetz</w:t>
      </w:r>
    </w:p>
    <w:p>
      <w:r>
        <w:rPr>
          <w:color w:val="555555"/>
          <w:sz w:val="18"/>
        </w:rPr>
        <w:t xml:space="preserve">Stand: 16.01.2026 (konsolidierte Textfassung, kein amtliches Inkrafttretensdatum)</w:t>
      </w:r>
    </w:p>
    <w:p>
      <w:r>
        <w:t xml:space="preserve">(1) Die Unterlagen über die Sicherheitsüberprüfung sind gesondert aufzubewahren und gegen unbefugten Zugriff zu schützen.</w:t>
      </w:r>
    </w:p>
    <w:p>
      <w:r>
        <w:t xml:space="preserve">(2) Die Unterlagen über die Sicherheitsüberprüfung sind bei der zuständigen Stelle innerhalb eines Jahres zu vernichten, wenn bekannt wird, dass die betroffene Person keine sicherheitsempfindliche Tätigkeit aufgenommen hat. Im Übrigen sind die Unterlagen über die Sicherheitsüberprüfung bei der zuständigen Stelle fünf Jahre nach dem Ausscheiden der betroffenen Person aus der sicherheitsempfindlichen Tätigkeit zu vernichten. Eine Vernichtung unterbleibt, wenn</w:t>
      </w:r>
    </w:p>
    <w:p>
      <w:pPr>
        <w:ind w:left="420"/>
      </w:pPr>
      <w:r>
        <w:t xml:space="preserve">1. die betroffene Person in die weitere Aufbewahrung einwilligt,</w:t>
      </w:r>
    </w:p>
    <w:p>
      <w:pPr>
        <w:ind w:left="420"/>
      </w:pPr>
      <w:r>
        <w:t xml:space="preserve">2. ein Verwaltungsstreitverfahren oder ein Gerichtsverfahren anhängig ist, für das die Unterlagen über die Sicherheitsüberprüfung von Bedeutung sind,</w:t>
      </w:r>
    </w:p>
    <w:p>
      <w:pPr>
        <w:ind w:left="420"/>
      </w:pPr>
      <w:r>
        <w:t xml:space="preserve">3. beabsichtigt ist, die betroffene Person in absehbarer Zeit mit einer sicherheitsempfindlichen Tätigkeit zu betrauen oder</w:t>
      </w:r>
    </w:p>
    <w:p>
      <w:pPr>
        <w:ind w:left="420"/>
      </w:pPr>
      <w:r>
        <w:t xml:space="preserve">4. Grund zu der Annahme besteht, dass durch sie schutzwürdige Interessen der betroffenen Person beeinträchtigt würden.</w:t>
      </w:r>
    </w:p>
    <w:p>
      <w:r>
        <w:t xml:space="preserve">Im Falle des Satzes 3 Nummer 4 ist die Verarbeitung der Daten einzuschränken; die Akte ist mit einem entsprechenden Sperrvermerk zu versehen. Die Daten dürfen nur noch mit Einwilligung der betroffenen Person gespeichert, genutzt, verändert, übermittelt und gelöscht werden.</w:t>
      </w:r>
    </w:p>
    <w:p>
      <w:r>
        <w:t xml:space="preserve">(3) Die Unterlagen über die Sicherheitsüberprüfung bei der mitwirkenden Behörde sind nach den in § 22 Absatz 2 Nummer 2 genannten Fristen zu vernichten. Gleiches gilt bezüglich der Unterlagen zu den in § 3 Absatz 3 genannten Personen. Absatz 2 Satz 3 bis 5 gilt entsprechend.</w:t>
      </w:r>
    </w:p>
    <w:p>
      <w:r>
        <w:t xml:space="preserve">(4) Im Falle des Todes einer betroffenen Person sind die Unterlagen über die Sicherheitsüberprüfung unverzüglich zu vernichten.</w:t>
      </w:r>
    </w:p>
    <w:p>
      <w:r>
        <w:t xml:space="preserve">(5) Das Bundesarchivgesetz findet auf die Unterlagen der Sicherheitsüberprüfung keine Anwendung.</w:t>
      </w:r>
    </w:p>
    <w:p>
      <w:r>
        <w:rPr>
          <w:color w:val="555555"/>
          <w:sz w:val="17"/>
        </w:rPr>
        <w:t xml:space="preserve">Zitiervorschlag: § 19 SÜG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https://recht.nulegal.eu/gesetze/S%C3%9CG/19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