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SÜG — Aktualisierung und Wiederholungsüberprüfung</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Sicherheitserklärung ist der betroffenen Person, die eine sicherheitsempfindliche Tätigkeit ausübt, in der Regel nach fünf Jahren erneut zuzuleiten und im Falle eingetretener Veränderungen von der betroffenen Person zu aktualisieren. Die zuständige Stelle prüft die Aktualisierungen auf ihre Vollständigkeit und Richtigkeit; § 13 Absatz 6 gilt entsprechend. Die zuständige Stelle beauftragt die mitwirkende Behörde, die Maßnahmen nach § 12 Absatz 1 im erforderlichen Umfang für die betroffene Person und für die mitbetroffene Person erneut durchzuführen und zu bewerten.</w:t>
      </w:r>
    </w:p>
    <w:p>
      <w:r>
        <w:t xml:space="preserve">(2) Im Abstand von in der Regel zehn Jahren ist eine Wiederholungsüberprüfung einzuleiten. Im Übrigen kann die zuständige Stelle eine Wiederholungsüberprüfung einleiten, wenn sicherheitserhebliche Erkenntnisse dies nahelegen. Die Maßnahmen bei der Wiederholungsüberprüfung entsprechen denen der Erstüberprüfung; bei der Sicherheitsüberprüfung nach den §§ 9 oder 10 kann die mitwirkende Behörde von einer erneuten Identitätsprüfung absehen. Die Wiederholungsüberprüfung erfolgt nur mit Zustimmung</w:t>
      </w:r>
    </w:p>
    <w:p>
      <w:pPr>
        <w:ind w:left="420"/>
      </w:pPr>
      <w:r>
        <w:t xml:space="preserve">1. der betroffenen Person, soweit gesetzlich nichts anderes bestimmt ist, und</w:t>
      </w:r>
    </w:p>
    <w:p>
      <w:pPr>
        <w:ind w:left="420"/>
      </w:pPr>
      <w:r>
        <w:t xml:space="preserve">2. der mitbetroffenen Person.</w:t>
      </w:r>
    </w:p>
    <w:p>
      <w:r>
        <w:t xml:space="preserve">§ 14 Absatz 4 Satz 2 findet keine Anwendung.</w:t>
      </w:r>
    </w:p>
    <w:p>
      <w:r>
        <w:t xml:space="preserve">(3) Die zuständige Stelle kontrolliert die Einhaltung der Fristen gemäß Absatz 1 Satz 1 und Absatz 2 Satz 1 in der Regel mithilfe einer elektronischen Erinnerungsfunktion.</w:t>
      </w:r>
    </w:p>
    <w:p>
      <w:r>
        <w:t xml:space="preserve">(4) Verweigert die betroffene Person oder die mitbetroffene Person die erforderliche Mitwirkung bei den Maßnahmen nach den Absätzen 1 und 2, ist die weitere Betrauung der betroffenen Person mit einer sicherheitsempfindlichen Tätigkeit unzulässig. § 14 Absatz 5 Satz 2 gilt entsprechend.</w:t>
      </w:r>
    </w:p>
    <w:p>
      <w:r>
        <w:rPr>
          <w:color w:val="555555"/>
          <w:sz w:val="17"/>
        </w:rPr>
        <w:t xml:space="preserve">Zitiervorschlag: § 17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