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SÜFV 2023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Stand: 09.02.2023 (konsolidierte Textfassung, kein amtliches Inkrafttretensdatum)</w:t>
      </w:r>
    </w:p>
    <w:p>
      <w:r>
        <w:t xml:space="preserve">Auf Grund des § 34 des Sicherheitsüberprüfungsgesetzes, der durch Artikel 1 Nummer 37 des Gesetzes vom 16. Juni 2017 (BGBl. I S. 1634) neu gefasst worden ist, verordnet die Bundesregierung:</w:t>
      </w:r>
    </w:p>
    <w:p>
      <w:r>
        <w:rPr>
          <w:color w:val="555555"/>
          <w:sz w:val="17"/>
        </w:rPr>
        <w:t xml:space="preserve">Zitiervorschlag: Eingangsformel SÜFV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https://recht.nulegal.eu/gesetze/S%C3%9CFV%202023/eingangsformel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SÜFV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