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SÜFV 2023 — Bundesverfassungsgericht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Stand: 09.02.2023 (konsolidierte Textfassung, kein amtliches Inkrafttretensdatum)</w:t>
      </w:r>
    </w:p>
    <w:p>
      <w:r>
        <w:t xml:space="preserve">Lebenswichtige Einrichtungen sind die Arbeitseinheiten, die den Betrieb der Informations- und Kommunikationstechnik des Bundesverfassungsgerichts sicherstellen und deren Ausfall die Tätigkeit des Bundesverfassungsgerichts erheblich beeinträchtigen würde.</w:t>
      </w:r>
    </w:p>
    <w:p>
      <w:r>
        <w:rPr>
          <w:color w:val="555555"/>
          <w:sz w:val="17"/>
        </w:rPr>
        <w:t xml:space="preserve">Zitiervorschlag: § 4 SÜFV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https://recht.nulegal.eu/gesetze/S%C3%9CFV%202023/4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