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SÜFV 2023 — Bundesministerium für Umwelt, Naturschutz, nukleare Sicherheit und Verbraucherschutz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Stand: 09.02.2023 (konsolidierte Textfassung, kein amtliches Inkrafttretensdatum)</w:t>
      </w:r>
    </w:p>
    <w:p>
      <w:r>
        <w:t xml:space="preserve">Lebenswichtige Einrichtungen sind, soweit der Betrieb nicht ausreichend durch organisatorische oder technische Maßnahmen gegen Eingriffe Unbefugter geschützt und dies im Sicherheitsbericht nach § 9 der Störfall-Verordnung dokumentiert ist, im Zuständigkeitsbereich des Bundesministeriums für Umwelt, Naturschutz, nukleare Sicherheit und Verbraucherschutz</w:t>
      </w:r>
    </w:p>
    <w:p>
      <w:pPr>
        <w:ind w:left="420"/>
      </w:pPr>
      <w:r>
        <w:t xml:space="preserve">1. die Teile von Unternehmen, die als Betriebsbereich in den Anwendungsbereich des § 1 Absatz 1 Satz 2 der Störfall-Verordnung fallen, und</w:t>
      </w:r>
    </w:p>
    <w:p>
      <w:pPr>
        <w:ind w:left="420"/>
      </w:pPr>
      <w:r>
        <w:t xml:space="preserve">2. die Teile von Unternehmen, die nach § 1 Absatz 2 der Störfall-Verordnung Betriebsbereichen nach Nummer 1 gleichgestellt sind.</w:t>
      </w:r>
    </w:p>
    <w:p>
      <w:r>
        <w:rPr>
          <w:color w:val="555555"/>
          <w:sz w:val="17"/>
        </w:rPr>
        <w:t xml:space="preserve">Zitiervorschlag: § 17 SÜFV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https://recht.nulegal.eu/gesetze/S%C3%9CFV%202023/17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