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SÜFV 2023 — Bundesministerium der Finanzen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Stand: 09.02.2023 (konsolidierte Textfassung, kein amtliches Inkrafttretensdatum)</w:t>
      </w:r>
    </w:p>
    <w:p>
      <w:r>
        <w:t xml:space="preserve">Lebenswichtige Einrichtungen sind im Zuständigkeitsbereich des Bundesministeriums der Finanzen die Teile von Unternehmen, die durch das Informationstechnikzentrum Bund mit dem Aufbau oder Betrieb der Informations- und Kommunikationstechnik des Bundes beauftragt sind und deren Ausfall die Tätigkeit oberster Bundesbehörden und ihnen nachgeordneter Behörden erheblich beeinträchtigen würde.</w:t>
      </w:r>
    </w:p>
    <w:p>
      <w:r>
        <w:rPr>
          <w:color w:val="555555"/>
          <w:sz w:val="17"/>
        </w:rPr>
        <w:t xml:space="preserve">Zitiervorschlag: § 14 SÜFV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https://recht.nulegal.eu/gesetze/S%C3%9CFV%202023/14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