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SÄEG (Brandenburg) — Aufgaben</w:t>
      </w:r>
    </w:p>
    <w:p>
      <w:r>
        <w:rPr>
          <w:color w:val="555555"/>
          <w:sz w:val="18"/>
        </w:rPr>
        <w:t xml:space="preserve">Schulämtererrichtungsgesetz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Aufgaben und Befugnisse des Landesschulamtes im Bereich Lehrerausbildung und Lehrerweiterbildung sowie im Bereich Reisekostenabrechnung für Lehrkräfte und im Bereich IT-Ressortfachverfahren und eGovernment gehen auf das für Schule zuständige Ministerium über. Die sonstigen Aufgaben und Befugnisse des Landesschulamtes gehen auf die staatlichen Schulämter über.</w:t>
      </w:r>
    </w:p>
    <w:p>
      <w:r>
        <w:t xml:space="preserve">(2) Eines Vorverfahrens nach den Vorschriften des 8. Abschnitts der Verwaltungsgerichtsordnung bedarf es, wenn ein Verwaltungsakt angefochten wird, den das für Schule zuständige Ministerium im Bereich Reisekostenabrechnung für Lehrkräfte erlassen hat.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SÄEG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https://recht.nulegal.eu/gesetze/S%C3%84EG/3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