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SÄEG (Brandenburg) — Errichtung</w:t>
      </w:r>
    </w:p>
    <w:p>
      <w:r>
        <w:rPr>
          <w:color w:val="555555"/>
          <w:sz w:val="18"/>
        </w:rPr>
        <w:t xml:space="preserve">Schulämtererrichtungsgesetz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Als sonstige untere Landesbehörden nach § 8 Absatz 2 Satz 1 des Landesorganisationsgesetzes werden das</w:t>
      </w:r>
    </w:p>
    <w:p>
      <w:r>
        <w:t xml:space="preserve">Staatliche Schulamt Neuruppin mit der Zuständigkeit für die Schulen in den Landkreisen Prignitz, Ostprignitz-Ruppin, Oberhavel und Havelland,</w:t>
      </w:r>
    </w:p>
    <w:p>
      <w:r>
        <w:t xml:space="preserve">Staatliche Schulamt Brandenburg an der Havel mit der Zuständigkeit für die Schulen in den Landkreisen Potsdam-Mittelmark, Teltow-Fläming sowie in den kreisfreien Städten Potsdam und Brandenburg an der Havel,</w:t>
      </w:r>
    </w:p>
    <w:p>
      <w:r>
        <w:t xml:space="preserve">Staatliche Schulamt Frankfurt (Oder) mit der Zuständigkeit für die Schulen in den Landkreisen Uckermark, Barnim, Märkisch-Oderland, Oder-Spree und in der kreisfreien Stadt Frankfurt (Oder) und</w:t>
      </w:r>
    </w:p>
    <w:p>
      <w:r>
        <w:t xml:space="preserve">Staatliche Schulamt Cottbus mit der Zuständigkeit für die Schulen in den Landkreisen Dahme-Spreewald, Elbe-Elster, Spree-Neiße, Oberspreewald-Lausitz und in der kreisfreien Stadt Cottbus</w:t>
      </w:r>
    </w:p>
    <w:p>
      <w:r>
        <w:t xml:space="preserve">errichtet.</w:t>
      </w:r>
    </w:p>
    <w:p>
      <w:r>
        <w:t xml:space="preserve">(2) Das für Schule zuständige Mitglied der Landesregierung wird ermächtigt, die Anzahl, den Sitz und die Zuständigkeitsbezirke der staatlichen Schulämter durch Rechtsverordnung zu bestimmen.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SÄEG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https://recht.nulegal.eu/gesetze/S%C3%84EG/1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