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RuhrVG - (Nordrhein-Westfalen) — Verbandsgebiet</w:t>
      </w:r>
    </w:p>
    <w:p>
      <w:r>
        <w:rPr>
          <w:color w:val="555555"/>
          <w:sz w:val="18"/>
        </w:rPr>
        <w:t xml:space="preserve">Ruhrverbandsgesetz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Verband hat sein Gebiet im oberirdischen Einzugsgebiet der Ruhr. Die Grenzen des Verbandsgebietes ergeben sich aus einer Übersichtskarte, die dem Kartenwerk des Landesamtes für Natur, Umwelt und Verbraucherschutz Nordrhein-Westfalen ,,Stationierung und Gebietsbezeichnung der Gewässer in Nordrhein-Westfalen" entspricht. Der Verband legt die Übersichtskarte am Sitz der Verbandsverwaltung zur Einsichtnahme aus.</w:t>
      </w:r>
    </w:p>
    <w:p>
      <w:r>
        <w:rPr>
          <w:color w:val="555555"/>
          <w:sz w:val="17"/>
        </w:rPr>
        <w:t xml:space="preserve">Zitiervorschlag: § 5 RuhrVG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https://recht.nulegal.eu/gesetze/RuhrVG%20-/5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