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RuhrVG - (Nordrhein-Westfalen) — Auflösung</w:t>
      </w:r>
    </w:p>
    <w:p>
      <w:r>
        <w:rPr>
          <w:color w:val="555555"/>
          <w:sz w:val="18"/>
        </w:rPr>
        <w:t xml:space="preserve">Ruhrverbandsgesetz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Verband kann nur durch Gesetz aufgelöst werden.</w:t>
      </w:r>
    </w:p>
    <w:p>
      <w:r>
        <w:rPr>
          <w:color w:val="555555"/>
          <w:sz w:val="17"/>
        </w:rPr>
        <w:t xml:space="preserve">Zitiervorschlag: § 40 RuhrVG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https://recht.nulegal.eu/gesetze/RuhrVG%20-/40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