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RuStAG</w:t>
      </w:r>
    </w:p>
    <w:p>
      <w:r>
        <w:rPr>
          <w:color w:val="555555"/>
          <w:sz w:val="18"/>
        </w:rPr>
        <w:t xml:space="preserve">Staatsangehörigkeitsgesetz</w:t>
      </w:r>
    </w:p>
    <w:p>
      <w:r>
        <w:rPr>
          <w:color w:val="555555"/>
          <w:sz w:val="18"/>
        </w:rPr>
        <w:t xml:space="preserve">Stand: 27.06.2024 (konsolidierte Textfassung, kein amtliches Inkrafttretensdatum)</w:t>
      </w:r>
    </w:p>
    <w:p>
      <w:r>
        <w:t xml:space="preserve">Von den in diesem Gesetz in den §§ 32, 33 und 37 getroffenen Regelungen des Verwaltungsverfahrens der Länder kann nicht durch Landesrecht abgewichen werden.</w:t>
      </w:r>
    </w:p>
    <w:p>
      <w:r>
        <w:rPr>
          <w:color w:val="555555"/>
          <w:sz w:val="17"/>
        </w:rPr>
        <w:t xml:space="preserve">Zitiervorschlag: § 41 RuStAG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https://recht.nulegal.eu/gesetze/RuStAG/41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