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40a RuStAG</w:t>
      </w:r>
    </w:p>
    <w:p>
      <w:r>
        <w:rPr>
          <w:color w:val="555555"/>
          <w:sz w:val="18"/>
        </w:rPr>
        <w:t xml:space="preserve">Staatsangehörigkeitsgesetz</w:t>
      </w:r>
    </w:p>
    <w:p>
      <w:r>
        <w:rPr>
          <w:color w:val="555555"/>
          <w:sz w:val="18"/>
        </w:rPr>
        <w:t xml:space="preserve">Stand: 27.06.2024 (konsolidierte Textfassung, kein amtliches Inkrafttretensdatum)</w:t>
      </w:r>
    </w:p>
    <w:p>
      <w:r>
        <w:t xml:space="preserve">Auf Einbürgerungsanträge, die bis zum 23. August 2023 gestellt worden sind, ist § 10 Absatz 1 Satz 1 Nummer 3 in der vor dem 27. Juni 2024 geltenden Fassung anzuwenden, soweit er günstigere Bestimmungen enthält.</w:t>
      </w:r>
    </w:p>
    <w:p>
      <w:r>
        <w:rPr>
          <w:color w:val="555555"/>
          <w:sz w:val="17"/>
        </w:rPr>
        <w:t xml:space="preserve">Zitiervorschlag: § 40a RuStAG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https://recht.nulegal.eu/gesetze/RuStAG/40a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