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RuStAG</w:t>
      </w:r>
    </w:p>
    <w:p>
      <w:r>
        <w:rPr>
          <w:color w:val="555555"/>
          <w:sz w:val="18"/>
        </w:rPr>
        <w:t xml:space="preserve">Staatsangehörigkeitsgesetz</w:t>
      </w:r>
    </w:p>
    <w:p>
      <w:r>
        <w:rPr>
          <w:color w:val="555555"/>
          <w:sz w:val="18"/>
        </w:rPr>
        <w:t xml:space="preserve">Stand: 27.06.2024 (konsolidierte Textfassung, kein amtliches Inkrafttretensdatum)</w:t>
      </w:r>
    </w:p>
    <w:p>
      <w:r>
        <w:t xml:space="preserve">Das Bundesministerium des Innern und für Heimat wird ermächtigt, durch Rechtsverordnung mit Zustimmung des Bundesrates Regelungen zu erlassen über die formalen Anforderungen an die Einbürgerungs- und die Verzichtsurkunde, die Urkunde über den Erwerb der deutschen Staatsangehörigkeit durch Erklärung sowie den Staatsangehörigkeitsausweis.</w:t>
      </w:r>
    </w:p>
    <w:p>
      <w:r>
        <w:rPr>
          <w:color w:val="555555"/>
          <w:sz w:val="17"/>
        </w:rPr>
        <w:t xml:space="preserve">Zitiervorschlag: § 39 RuStAG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https://recht.nulegal.eu/gesetze/RuStAG/39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